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32" w:rsidRPr="001506DE" w:rsidRDefault="00BF6E1D">
      <w:pPr>
        <w:rPr>
          <w:b/>
          <w:sz w:val="24"/>
          <w:szCs w:val="24"/>
        </w:rPr>
      </w:pPr>
      <w:r w:rsidRPr="001506DE">
        <w:rPr>
          <w:b/>
          <w:sz w:val="24"/>
          <w:szCs w:val="24"/>
        </w:rPr>
        <w:t>Systematiskt jämställdhetsarbete gör skillnad!</w:t>
      </w:r>
    </w:p>
    <w:p w:rsidR="00921039" w:rsidRPr="001506DE" w:rsidRDefault="00BF6E1D">
      <w:pPr>
        <w:rPr>
          <w:rStyle w:val="Betoning"/>
          <w:rFonts w:cs="Arial"/>
          <w:i w:val="0"/>
          <w:color w:val="000000"/>
          <w:szCs w:val="24"/>
        </w:rPr>
      </w:pPr>
      <w:r w:rsidRPr="001506DE">
        <w:rPr>
          <w:szCs w:val="24"/>
        </w:rPr>
        <w:t xml:space="preserve">Sedan 2012 har förbundet arbetat aktivt med jämställdhetsintegrering. Utgångspunkten och förutsättning för jämställdhetsarbetet är att alla medarbetare får gå en grundutbildning i jämställdhet. Men gör det skillnad? Vi kan se med hjälp av </w:t>
      </w:r>
      <w:r w:rsidRPr="001506DE">
        <w:rPr>
          <w:rStyle w:val="Betoning"/>
          <w:rFonts w:cs="Arial"/>
          <w:i w:val="0"/>
          <w:color w:val="000000"/>
          <w:szCs w:val="24"/>
        </w:rPr>
        <w:t xml:space="preserve">Sektorsövergripande system för uppföljning av samverkan och finansiell samordning inom rehabiliteringsområdet, i vardagsmun kallat SUS, att det skett en förändring över tid, säger </w:t>
      </w:r>
      <w:proofErr w:type="spellStart"/>
      <w:r w:rsidRPr="001506DE">
        <w:rPr>
          <w:rStyle w:val="Betoning"/>
          <w:rFonts w:cs="Arial"/>
          <w:i w:val="0"/>
          <w:color w:val="000000"/>
          <w:szCs w:val="24"/>
        </w:rPr>
        <w:t>förbundschef</w:t>
      </w:r>
      <w:proofErr w:type="spellEnd"/>
      <w:r w:rsidRPr="001506DE">
        <w:rPr>
          <w:rStyle w:val="Betoning"/>
          <w:rFonts w:cs="Arial"/>
          <w:i w:val="0"/>
          <w:color w:val="000000"/>
          <w:szCs w:val="24"/>
        </w:rPr>
        <w:t xml:space="preserve"> Charlotte Axelsson. Hon fortsätter, 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>ett strukturerat långsiktigt jämställdhetsarbete där jämställdhet finns med i alla beslut, i alla samtal, gör skillnad.</w:t>
      </w:r>
    </w:p>
    <w:p w:rsidR="000B0F5B" w:rsidRPr="001506DE" w:rsidRDefault="00C2495A">
      <w:pPr>
        <w:rPr>
          <w:rStyle w:val="Betoning"/>
          <w:rFonts w:cs="Arial"/>
          <w:i w:val="0"/>
          <w:color w:val="000000"/>
          <w:szCs w:val="24"/>
        </w:rPr>
      </w:pPr>
      <w:r w:rsidRPr="001506DE">
        <w:rPr>
          <w:rStyle w:val="Betoning"/>
          <w:rFonts w:cs="Arial"/>
          <w:i w:val="0"/>
          <w:color w:val="000000"/>
          <w:szCs w:val="24"/>
        </w:rPr>
        <w:t xml:space="preserve">Sverige har den mest 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>könssegre</w:t>
      </w:r>
      <w:r w:rsidRPr="001506DE">
        <w:rPr>
          <w:rStyle w:val="Betoning"/>
          <w:rFonts w:cs="Arial"/>
          <w:i w:val="0"/>
          <w:color w:val="000000"/>
          <w:szCs w:val="24"/>
        </w:rPr>
        <w:t>ge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>rad</w:t>
      </w:r>
      <w:r w:rsidRPr="001506DE">
        <w:rPr>
          <w:rStyle w:val="Betoning"/>
          <w:rFonts w:cs="Arial"/>
          <w:i w:val="0"/>
          <w:color w:val="000000"/>
          <w:szCs w:val="24"/>
        </w:rPr>
        <w:t xml:space="preserve">e arbetsmarknaden i världen och vi har fått backning från FN avseende detta. </w:t>
      </w:r>
      <w:r w:rsidRPr="001506DE">
        <w:rPr>
          <w:color w:val="424040"/>
          <w:szCs w:val="20"/>
        </w:rPr>
        <w:t>FN:s expertkommitté mot diskriminering av kvinnor ger Sverige rådet</w:t>
      </w:r>
      <w:r w:rsidRPr="001506DE">
        <w:rPr>
          <w:rFonts w:ascii="Droid Serif" w:hAnsi="Droid Serif"/>
          <w:color w:val="424040"/>
          <w:szCs w:val="20"/>
        </w:rPr>
        <w:t xml:space="preserve"> </w:t>
      </w:r>
      <w:r w:rsidRPr="001506DE">
        <w:rPr>
          <w:color w:val="424040"/>
          <w:szCs w:val="24"/>
        </w:rPr>
        <w:t>att vi behöver arbeta mer proaktivt för att eliminera den könssegregerade arbetsmarknaden</w:t>
      </w:r>
      <w:r w:rsidRPr="001506DE">
        <w:rPr>
          <w:rStyle w:val="Fotnotsreferens"/>
          <w:color w:val="424040"/>
          <w:szCs w:val="24"/>
        </w:rPr>
        <w:footnoteReference w:id="1"/>
      </w:r>
      <w:r w:rsidRPr="001506DE">
        <w:rPr>
          <w:color w:val="424040"/>
          <w:szCs w:val="24"/>
        </w:rPr>
        <w:t xml:space="preserve">. </w:t>
      </w:r>
      <w:r w:rsidRPr="001506DE">
        <w:rPr>
          <w:rStyle w:val="Betoning"/>
          <w:rFonts w:cs="Arial"/>
          <w:i w:val="0"/>
          <w:color w:val="000000"/>
          <w:szCs w:val="24"/>
        </w:rPr>
        <w:t xml:space="preserve">Den är inte 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 xml:space="preserve">gynnsam ur ett jämställdhetsperspektiv, det </w:t>
      </w:r>
      <w:r w:rsidR="000B0F5B" w:rsidRPr="001506DE">
        <w:rPr>
          <w:rStyle w:val="Betoning"/>
          <w:rFonts w:cs="Arial"/>
          <w:i w:val="0"/>
          <w:color w:val="000000"/>
          <w:szCs w:val="24"/>
        </w:rPr>
        <w:t>få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>r</w:t>
      </w:r>
      <w:r w:rsidR="000B0F5B" w:rsidRPr="001506DE">
        <w:rPr>
          <w:rStyle w:val="Betoning"/>
          <w:rFonts w:cs="Arial"/>
          <w:i w:val="0"/>
          <w:color w:val="000000"/>
          <w:szCs w:val="24"/>
        </w:rPr>
        <w:t xml:space="preserve"> konsekvenser för individer 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 xml:space="preserve">och </w:t>
      </w:r>
      <w:r w:rsidR="000B0F5B" w:rsidRPr="001506DE">
        <w:rPr>
          <w:rStyle w:val="Betoning"/>
          <w:rFonts w:cs="Arial"/>
          <w:i w:val="0"/>
          <w:color w:val="000000"/>
          <w:szCs w:val="24"/>
        </w:rPr>
        <w:t xml:space="preserve">som står helt emot de jämställdhetspolitiska delmålen såsom jämställd ekonomi och jämställd hälsa. </w:t>
      </w:r>
      <w:r w:rsidRPr="001506DE">
        <w:rPr>
          <w:rStyle w:val="Betoning"/>
          <w:rFonts w:cs="Arial"/>
          <w:i w:val="0"/>
          <w:color w:val="000000"/>
          <w:szCs w:val="24"/>
        </w:rPr>
        <w:t>G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 xml:space="preserve">enom att arbeta med normer och värderingar </w:t>
      </w:r>
      <w:r w:rsidR="009E42F9" w:rsidRPr="001506DE">
        <w:rPr>
          <w:rStyle w:val="Betoning"/>
          <w:rFonts w:cs="Arial"/>
          <w:i w:val="0"/>
          <w:color w:val="000000"/>
          <w:szCs w:val="24"/>
        </w:rPr>
        <w:t>och därmed medvetengöra den s</w:t>
      </w:r>
      <w:r w:rsidRPr="001506DE">
        <w:rPr>
          <w:rStyle w:val="Betoning"/>
          <w:rFonts w:cs="Arial"/>
          <w:i w:val="0"/>
          <w:color w:val="000000"/>
          <w:szCs w:val="24"/>
        </w:rPr>
        <w:t xml:space="preserve">truktur som gör det </w:t>
      </w:r>
      <w:proofErr w:type="spellStart"/>
      <w:r w:rsidRPr="001506DE">
        <w:rPr>
          <w:rStyle w:val="Betoning"/>
          <w:rFonts w:cs="Arial"/>
          <w:i w:val="0"/>
          <w:color w:val="000000"/>
          <w:szCs w:val="24"/>
        </w:rPr>
        <w:t>ojämställ</w:t>
      </w:r>
      <w:r w:rsidR="009E42F9" w:rsidRPr="001506DE">
        <w:rPr>
          <w:rStyle w:val="Betoning"/>
          <w:rFonts w:cs="Arial"/>
          <w:i w:val="0"/>
          <w:color w:val="000000"/>
          <w:szCs w:val="24"/>
        </w:rPr>
        <w:t>t</w:t>
      </w:r>
      <w:proofErr w:type="spellEnd"/>
      <w:r w:rsidR="009E42F9" w:rsidRPr="001506DE">
        <w:rPr>
          <w:rStyle w:val="Betoning"/>
          <w:rFonts w:cs="Arial"/>
          <w:i w:val="0"/>
          <w:color w:val="000000"/>
          <w:szCs w:val="24"/>
        </w:rPr>
        <w:t xml:space="preserve"> 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>kan vi i mötet med individer u</w:t>
      </w:r>
      <w:r w:rsidRPr="001506DE">
        <w:rPr>
          <w:rStyle w:val="Betoning"/>
          <w:rFonts w:cs="Arial"/>
          <w:i w:val="0"/>
          <w:color w:val="000000"/>
          <w:szCs w:val="24"/>
        </w:rPr>
        <w:t>ndvika att hamna i genusfällor. Att inte utgå från kön utan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 xml:space="preserve"> i stället utgå från intre</w:t>
      </w:r>
      <w:r w:rsidRPr="001506DE">
        <w:rPr>
          <w:rStyle w:val="Betoning"/>
          <w:rFonts w:cs="Arial"/>
          <w:i w:val="0"/>
          <w:color w:val="000000"/>
          <w:szCs w:val="24"/>
        </w:rPr>
        <w:t>sse</w:t>
      </w:r>
      <w:r w:rsidR="00580373" w:rsidRPr="001506DE">
        <w:rPr>
          <w:rStyle w:val="Betoning"/>
          <w:rFonts w:cs="Arial"/>
          <w:i w:val="0"/>
          <w:color w:val="000000"/>
          <w:szCs w:val="24"/>
        </w:rPr>
        <w:t>n</w:t>
      </w:r>
      <w:r w:rsidR="00097697">
        <w:rPr>
          <w:rStyle w:val="Betoning"/>
          <w:rFonts w:cs="Arial"/>
          <w:i w:val="0"/>
          <w:color w:val="000000"/>
          <w:szCs w:val="24"/>
        </w:rPr>
        <w:t xml:space="preserve"> och egenskaper - </w:t>
      </w:r>
      <w:r w:rsidRPr="001506DE">
        <w:rPr>
          <w:rStyle w:val="Betoning"/>
          <w:rFonts w:cs="Arial"/>
          <w:i w:val="0"/>
          <w:color w:val="000000"/>
          <w:szCs w:val="24"/>
        </w:rPr>
        <w:t>är det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 xml:space="preserve"> so</w:t>
      </w:r>
      <w:r w:rsidRPr="001506DE">
        <w:rPr>
          <w:rStyle w:val="Betoning"/>
          <w:rFonts w:cs="Arial"/>
          <w:i w:val="0"/>
          <w:color w:val="000000"/>
          <w:szCs w:val="24"/>
        </w:rPr>
        <w:t>m ska styra var individer återfinns</w:t>
      </w:r>
      <w:r w:rsidR="00921039" w:rsidRPr="001506DE">
        <w:rPr>
          <w:rStyle w:val="Betoning"/>
          <w:rFonts w:cs="Arial"/>
          <w:i w:val="0"/>
          <w:color w:val="000000"/>
          <w:szCs w:val="24"/>
        </w:rPr>
        <w:t xml:space="preserve"> i arbetslivet.</w:t>
      </w:r>
    </w:p>
    <w:p w:rsidR="001506DE" w:rsidRPr="001506DE" w:rsidRDefault="00921039">
      <w:pPr>
        <w:rPr>
          <w:rStyle w:val="Betoning"/>
          <w:rFonts w:cs="Arial"/>
          <w:i w:val="0"/>
          <w:color w:val="000000"/>
          <w:szCs w:val="24"/>
        </w:rPr>
      </w:pPr>
      <w:r w:rsidRPr="001506DE">
        <w:rPr>
          <w:rStyle w:val="Betoning"/>
          <w:rFonts w:cs="Arial"/>
          <w:i w:val="0"/>
          <w:color w:val="000000"/>
          <w:szCs w:val="24"/>
        </w:rPr>
        <w:t xml:space="preserve">I </w:t>
      </w:r>
      <w:r w:rsidR="0039172E">
        <w:rPr>
          <w:rStyle w:val="Betoning"/>
          <w:rFonts w:cs="Arial"/>
          <w:i w:val="0"/>
          <w:color w:val="000000"/>
          <w:szCs w:val="24"/>
        </w:rPr>
        <w:t xml:space="preserve">SUS </w:t>
      </w:r>
      <w:r w:rsidRPr="001506DE">
        <w:rPr>
          <w:rStyle w:val="Betoning"/>
          <w:rFonts w:cs="Arial"/>
          <w:i w:val="0"/>
          <w:color w:val="000000"/>
          <w:szCs w:val="24"/>
        </w:rPr>
        <w:t>har vi tagit fram siffror kring var kvinnor och män efter avslutad insats</w:t>
      </w:r>
      <w:r w:rsidR="00C2495A" w:rsidRPr="001506DE">
        <w:rPr>
          <w:rStyle w:val="Betoning"/>
          <w:rFonts w:cs="Arial"/>
          <w:i w:val="0"/>
          <w:color w:val="000000"/>
          <w:szCs w:val="24"/>
        </w:rPr>
        <w:t xml:space="preserve"> hos oss</w:t>
      </w:r>
      <w:r w:rsidRPr="001506DE">
        <w:rPr>
          <w:rStyle w:val="Betoning"/>
          <w:rFonts w:cs="Arial"/>
          <w:i w:val="0"/>
          <w:color w:val="000000"/>
          <w:szCs w:val="24"/>
        </w:rPr>
        <w:t xml:space="preserve"> hamnar</w:t>
      </w:r>
      <w:r w:rsidR="009E42F9" w:rsidRPr="001506DE">
        <w:rPr>
          <w:rStyle w:val="Betoning"/>
          <w:rFonts w:cs="Arial"/>
          <w:i w:val="0"/>
          <w:color w:val="000000"/>
          <w:szCs w:val="24"/>
        </w:rPr>
        <w:t xml:space="preserve"> mellan åren</w:t>
      </w:r>
      <w:r w:rsidR="00097697">
        <w:rPr>
          <w:rStyle w:val="Betoning"/>
          <w:rFonts w:cs="Arial"/>
          <w:i w:val="0"/>
          <w:color w:val="000000"/>
          <w:szCs w:val="24"/>
        </w:rPr>
        <w:t xml:space="preserve"> 2014-2017</w:t>
      </w:r>
      <w:r w:rsidR="0039172E">
        <w:rPr>
          <w:rStyle w:val="Betoning"/>
          <w:rFonts w:cs="Arial"/>
          <w:i w:val="0"/>
          <w:color w:val="000000"/>
          <w:szCs w:val="24"/>
        </w:rPr>
        <w:t xml:space="preserve"> och presenterat dessa i diagram</w:t>
      </w:r>
      <w:bookmarkStart w:id="0" w:name="_GoBack"/>
      <w:bookmarkEnd w:id="0"/>
      <w:r w:rsidR="009E42F9" w:rsidRPr="001506DE">
        <w:rPr>
          <w:rStyle w:val="Betoning"/>
          <w:rFonts w:cs="Arial"/>
          <w:i w:val="0"/>
          <w:color w:val="000000"/>
          <w:szCs w:val="24"/>
        </w:rPr>
        <w:t xml:space="preserve">. </w:t>
      </w:r>
      <w:r w:rsidR="00C2495A" w:rsidRPr="001506DE">
        <w:rPr>
          <w:rStyle w:val="Betoning"/>
          <w:rFonts w:cs="Arial"/>
          <w:i w:val="0"/>
          <w:color w:val="000000"/>
          <w:szCs w:val="24"/>
        </w:rPr>
        <w:t xml:space="preserve">Utan systematiskt jämställdhetsarbete </w:t>
      </w:r>
      <w:r w:rsidR="00580373" w:rsidRPr="001506DE">
        <w:rPr>
          <w:rStyle w:val="Betoning"/>
          <w:rFonts w:cs="Arial"/>
          <w:i w:val="0"/>
          <w:color w:val="000000"/>
          <w:szCs w:val="24"/>
        </w:rPr>
        <w:t>har</w:t>
      </w:r>
      <w:r w:rsidR="00C2495A" w:rsidRPr="001506DE">
        <w:rPr>
          <w:rStyle w:val="Betoning"/>
          <w:rFonts w:cs="Arial"/>
          <w:i w:val="0"/>
          <w:color w:val="000000"/>
          <w:szCs w:val="24"/>
        </w:rPr>
        <w:t xml:space="preserve"> vi </w:t>
      </w:r>
      <w:r w:rsidR="00580373" w:rsidRPr="001506DE">
        <w:rPr>
          <w:rStyle w:val="Betoning"/>
          <w:rFonts w:cs="Arial"/>
          <w:i w:val="0"/>
          <w:color w:val="000000"/>
          <w:szCs w:val="24"/>
        </w:rPr>
        <w:t xml:space="preserve">sett </w:t>
      </w:r>
      <w:r w:rsidR="00C2495A" w:rsidRPr="001506DE">
        <w:rPr>
          <w:rStyle w:val="Betoning"/>
          <w:rFonts w:cs="Arial"/>
          <w:i w:val="0"/>
          <w:color w:val="000000"/>
          <w:szCs w:val="24"/>
        </w:rPr>
        <w:t xml:space="preserve">att kvinnor subventionerar sin arbetsoförmåga själva genom att hamna i osäkra deltidsarbeten, timanställningar och vikariepooler inom offentlig sektor. </w:t>
      </w:r>
      <w:r w:rsidR="009E42F9" w:rsidRPr="001506DE">
        <w:rPr>
          <w:rStyle w:val="Betoning"/>
          <w:rFonts w:cs="Arial"/>
          <w:i w:val="0"/>
          <w:color w:val="000000"/>
          <w:szCs w:val="24"/>
        </w:rPr>
        <w:t xml:space="preserve">Vi kan se att det skett en förändring över tid där subvention går till de som har behov av det snarare än vilken arbetsmarknad en är utplacerad till. Kön är </w:t>
      </w:r>
      <w:r w:rsidR="00C2495A" w:rsidRPr="001506DE">
        <w:rPr>
          <w:rStyle w:val="Betoning"/>
          <w:rFonts w:cs="Arial"/>
          <w:i w:val="0"/>
          <w:color w:val="000000"/>
          <w:szCs w:val="24"/>
        </w:rPr>
        <w:t xml:space="preserve">därmed </w:t>
      </w:r>
      <w:r w:rsidR="009E42F9" w:rsidRPr="001506DE">
        <w:rPr>
          <w:rStyle w:val="Betoning"/>
          <w:rFonts w:cs="Arial"/>
          <w:i w:val="0"/>
          <w:color w:val="000000"/>
          <w:szCs w:val="24"/>
        </w:rPr>
        <w:t>underordnat behovet.</w:t>
      </w:r>
    </w:p>
    <w:p w:rsidR="001506DE" w:rsidRDefault="001506DE">
      <w:pPr>
        <w:rPr>
          <w:rStyle w:val="Betoning"/>
          <w:rFonts w:cs="Arial"/>
          <w:i w:val="0"/>
          <w:color w:val="000000"/>
          <w:sz w:val="24"/>
          <w:szCs w:val="24"/>
        </w:rPr>
      </w:pPr>
      <w:r w:rsidRPr="001506DE">
        <w:rPr>
          <w:rFonts w:cs="Arial"/>
          <w:iCs/>
          <w:noProof/>
          <w:color w:val="000000"/>
          <w:sz w:val="24"/>
          <w:szCs w:val="24"/>
          <w:lang w:eastAsia="sv-SE"/>
        </w:rPr>
        <w:drawing>
          <wp:inline distT="0" distB="0" distL="0" distR="0" wp14:anchorId="3757E45E" wp14:editId="12F79DE6">
            <wp:extent cx="2743200" cy="2590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506DE">
        <w:rPr>
          <w:noProof/>
          <w:lang w:eastAsia="sv-SE"/>
        </w:rPr>
        <w:t xml:space="preserve"> </w:t>
      </w:r>
      <w:r w:rsidRPr="001506DE">
        <w:rPr>
          <w:rFonts w:cs="Arial"/>
          <w:iCs/>
          <w:noProof/>
          <w:color w:val="000000"/>
          <w:sz w:val="24"/>
          <w:szCs w:val="24"/>
          <w:lang w:eastAsia="sv-SE"/>
        </w:rPr>
        <w:drawing>
          <wp:inline distT="0" distB="0" distL="0" distR="0" wp14:anchorId="39FD2D08" wp14:editId="11E9BB0D">
            <wp:extent cx="2758440" cy="2583180"/>
            <wp:effectExtent l="0" t="0" r="381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06DE" w:rsidRDefault="001506DE">
      <w:pPr>
        <w:rPr>
          <w:rStyle w:val="Betoning"/>
          <w:rFonts w:cs="Arial"/>
          <w:i w:val="0"/>
          <w:color w:val="000000"/>
          <w:szCs w:val="24"/>
        </w:rPr>
      </w:pPr>
    </w:p>
    <w:p w:rsidR="001506DE" w:rsidRPr="001506DE" w:rsidRDefault="001506DE">
      <w:pPr>
        <w:rPr>
          <w:rFonts w:cs="Arial"/>
          <w:iCs/>
          <w:color w:val="000000"/>
          <w:szCs w:val="24"/>
        </w:rPr>
      </w:pPr>
      <w:r w:rsidRPr="001506DE">
        <w:rPr>
          <w:rStyle w:val="Betoning"/>
          <w:rFonts w:cs="Arial"/>
          <w:i w:val="0"/>
          <w:color w:val="000000"/>
          <w:szCs w:val="24"/>
        </w:rPr>
        <w:t>Monia N Sarenstrand</w:t>
      </w:r>
      <w:r>
        <w:rPr>
          <w:rStyle w:val="Betoning"/>
          <w:rFonts w:cs="Arial"/>
          <w:i w:val="0"/>
          <w:color w:val="000000"/>
          <w:szCs w:val="24"/>
        </w:rPr>
        <w:br/>
      </w:r>
      <w:proofErr w:type="spellStart"/>
      <w:r w:rsidRPr="001506DE">
        <w:rPr>
          <w:rStyle w:val="Betoning"/>
          <w:rFonts w:cs="Arial"/>
          <w:i w:val="0"/>
          <w:color w:val="000000"/>
          <w:szCs w:val="24"/>
        </w:rPr>
        <w:t>Jämställdhetsstrateg</w:t>
      </w:r>
      <w:proofErr w:type="spellEnd"/>
      <w:r>
        <w:rPr>
          <w:rStyle w:val="Betoning"/>
          <w:rFonts w:cs="Arial"/>
          <w:i w:val="0"/>
          <w:color w:val="000000"/>
          <w:szCs w:val="24"/>
        </w:rPr>
        <w:t xml:space="preserve">, </w:t>
      </w:r>
      <w:r w:rsidRPr="001506DE">
        <w:rPr>
          <w:rStyle w:val="Betoning"/>
          <w:rFonts w:cs="Arial"/>
          <w:i w:val="0"/>
          <w:color w:val="000000"/>
          <w:szCs w:val="24"/>
        </w:rPr>
        <w:t>Samordningsförbundet Insjöriket</w:t>
      </w:r>
    </w:p>
    <w:sectPr w:rsidR="001506DE" w:rsidRPr="0015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D8" w:rsidRDefault="00A943D8" w:rsidP="00C2495A">
      <w:pPr>
        <w:spacing w:after="0" w:line="240" w:lineRule="auto"/>
      </w:pPr>
      <w:r>
        <w:separator/>
      </w:r>
    </w:p>
  </w:endnote>
  <w:endnote w:type="continuationSeparator" w:id="0">
    <w:p w:rsidR="00A943D8" w:rsidRDefault="00A943D8" w:rsidP="00C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D8" w:rsidRDefault="00A943D8" w:rsidP="00C2495A">
      <w:pPr>
        <w:spacing w:after="0" w:line="240" w:lineRule="auto"/>
      </w:pPr>
      <w:r>
        <w:separator/>
      </w:r>
    </w:p>
  </w:footnote>
  <w:footnote w:type="continuationSeparator" w:id="0">
    <w:p w:rsidR="00A943D8" w:rsidRDefault="00A943D8" w:rsidP="00C2495A">
      <w:pPr>
        <w:spacing w:after="0" w:line="240" w:lineRule="auto"/>
      </w:pPr>
      <w:r>
        <w:continuationSeparator/>
      </w:r>
    </w:p>
  </w:footnote>
  <w:footnote w:id="1">
    <w:p w:rsidR="00C2495A" w:rsidRDefault="00C2495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2495A">
        <w:t>https</w:t>
      </w:r>
      <w:proofErr w:type="gramStart"/>
      <w:r w:rsidRPr="00C2495A">
        <w:t>://</w:t>
      </w:r>
      <w:proofErr w:type="gramEnd"/>
      <w:r w:rsidRPr="00C2495A">
        <w:t>www.arbetsvarlden.se/fn-rad-till-sverige-bekampa-den-konssegregerade-arbetsmarknaden/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D"/>
    <w:rsid w:val="000773F7"/>
    <w:rsid w:val="0009017F"/>
    <w:rsid w:val="00092CBD"/>
    <w:rsid w:val="00097697"/>
    <w:rsid w:val="000A1CD7"/>
    <w:rsid w:val="000B0867"/>
    <w:rsid w:val="000B0F5B"/>
    <w:rsid w:val="000D7C51"/>
    <w:rsid w:val="0011170F"/>
    <w:rsid w:val="001416BF"/>
    <w:rsid w:val="001506DE"/>
    <w:rsid w:val="001640CC"/>
    <w:rsid w:val="001A7064"/>
    <w:rsid w:val="001B2977"/>
    <w:rsid w:val="001C7047"/>
    <w:rsid w:val="00200C05"/>
    <w:rsid w:val="00270EE9"/>
    <w:rsid w:val="00273C80"/>
    <w:rsid w:val="00281B56"/>
    <w:rsid w:val="002B0DD0"/>
    <w:rsid w:val="002B22C1"/>
    <w:rsid w:val="002C0D8A"/>
    <w:rsid w:val="00354A05"/>
    <w:rsid w:val="00357D6C"/>
    <w:rsid w:val="00364154"/>
    <w:rsid w:val="003855FC"/>
    <w:rsid w:val="0039172E"/>
    <w:rsid w:val="00407FF2"/>
    <w:rsid w:val="00475810"/>
    <w:rsid w:val="00481387"/>
    <w:rsid w:val="00482441"/>
    <w:rsid w:val="00483A0C"/>
    <w:rsid w:val="0049190A"/>
    <w:rsid w:val="00493265"/>
    <w:rsid w:val="004D1B4C"/>
    <w:rsid w:val="004F0327"/>
    <w:rsid w:val="00540A61"/>
    <w:rsid w:val="0054781B"/>
    <w:rsid w:val="0055230B"/>
    <w:rsid w:val="00553275"/>
    <w:rsid w:val="00565381"/>
    <w:rsid w:val="00580373"/>
    <w:rsid w:val="0059421A"/>
    <w:rsid w:val="005D1FF6"/>
    <w:rsid w:val="005E4930"/>
    <w:rsid w:val="00637F28"/>
    <w:rsid w:val="00680E11"/>
    <w:rsid w:val="007240CE"/>
    <w:rsid w:val="007463A3"/>
    <w:rsid w:val="007574AB"/>
    <w:rsid w:val="00767B14"/>
    <w:rsid w:val="00771165"/>
    <w:rsid w:val="007A5927"/>
    <w:rsid w:val="007B0E96"/>
    <w:rsid w:val="007C2880"/>
    <w:rsid w:val="007F3AA4"/>
    <w:rsid w:val="0080048F"/>
    <w:rsid w:val="0080324E"/>
    <w:rsid w:val="008542E5"/>
    <w:rsid w:val="00884A3F"/>
    <w:rsid w:val="00886227"/>
    <w:rsid w:val="00892BFE"/>
    <w:rsid w:val="00893282"/>
    <w:rsid w:val="00896F2D"/>
    <w:rsid w:val="008A57C2"/>
    <w:rsid w:val="008D3CBD"/>
    <w:rsid w:val="008F48CB"/>
    <w:rsid w:val="008F7990"/>
    <w:rsid w:val="0091271B"/>
    <w:rsid w:val="00921039"/>
    <w:rsid w:val="00935E10"/>
    <w:rsid w:val="009957D4"/>
    <w:rsid w:val="00997BF5"/>
    <w:rsid w:val="009A415F"/>
    <w:rsid w:val="009E42F9"/>
    <w:rsid w:val="00A035D3"/>
    <w:rsid w:val="00A32CE3"/>
    <w:rsid w:val="00A45C9D"/>
    <w:rsid w:val="00A943D8"/>
    <w:rsid w:val="00AB2076"/>
    <w:rsid w:val="00AB7C65"/>
    <w:rsid w:val="00AD49F0"/>
    <w:rsid w:val="00AF2D40"/>
    <w:rsid w:val="00B278E9"/>
    <w:rsid w:val="00B33BCD"/>
    <w:rsid w:val="00B51CB5"/>
    <w:rsid w:val="00B93F90"/>
    <w:rsid w:val="00BA2D77"/>
    <w:rsid w:val="00BC194A"/>
    <w:rsid w:val="00BF6E1D"/>
    <w:rsid w:val="00C1308E"/>
    <w:rsid w:val="00C2495A"/>
    <w:rsid w:val="00C8465B"/>
    <w:rsid w:val="00CB3A85"/>
    <w:rsid w:val="00CC5F2D"/>
    <w:rsid w:val="00CD3CD8"/>
    <w:rsid w:val="00CD4B9E"/>
    <w:rsid w:val="00D27F07"/>
    <w:rsid w:val="00D40546"/>
    <w:rsid w:val="00D537EA"/>
    <w:rsid w:val="00D71E61"/>
    <w:rsid w:val="00D74F70"/>
    <w:rsid w:val="00D92614"/>
    <w:rsid w:val="00DC5856"/>
    <w:rsid w:val="00DF3602"/>
    <w:rsid w:val="00E03686"/>
    <w:rsid w:val="00E11351"/>
    <w:rsid w:val="00E128A0"/>
    <w:rsid w:val="00E40B32"/>
    <w:rsid w:val="00E55341"/>
    <w:rsid w:val="00E71D59"/>
    <w:rsid w:val="00E90994"/>
    <w:rsid w:val="00E90B24"/>
    <w:rsid w:val="00EB4410"/>
    <w:rsid w:val="00EB787E"/>
    <w:rsid w:val="00EE706A"/>
    <w:rsid w:val="00EF2C5D"/>
    <w:rsid w:val="00EF30D8"/>
    <w:rsid w:val="00F06B39"/>
    <w:rsid w:val="00F17D25"/>
    <w:rsid w:val="00F31732"/>
    <w:rsid w:val="00F43448"/>
    <w:rsid w:val="00F62D68"/>
    <w:rsid w:val="00FE259E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47E2-9FDD-4577-BB91-779C7D31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BF6E1D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2495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2495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24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 sz="1000" dirty="0" smtClean="0"/>
              <a:t>Avslutade</a:t>
            </a:r>
            <a:r>
              <a:rPr lang="sv-SE" sz="1000" baseline="0" dirty="0" smtClean="0"/>
              <a:t> till arbete, insats Balder 2014</a:t>
            </a:r>
          </a:p>
          <a:p>
            <a:pPr>
              <a:defRPr/>
            </a:pPr>
            <a:endParaRPr lang="sv-SE" dirty="0" smtClean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Kvinnor</c:v>
                </c:pt>
              </c:strCache>
            </c:strRef>
          </c:tx>
          <c:spPr>
            <a:solidFill>
              <a:srgbClr val="FFCCFF"/>
            </a:solidFill>
            <a:ln>
              <a:noFill/>
            </a:ln>
            <a:effectLst/>
          </c:spPr>
          <c:invertIfNegative val="0"/>
          <c:cat>
            <c:strRef>
              <c:f>Blad1!$A$2:$A$3</c:f>
              <c:strCache>
                <c:ptCount val="2"/>
                <c:pt idx="0">
                  <c:v>Subventionerat</c:v>
                </c:pt>
                <c:pt idx="1">
                  <c:v>Osubventionerat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Män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Blad1!$A$2:$A$3</c:f>
              <c:strCache>
                <c:ptCount val="2"/>
                <c:pt idx="0">
                  <c:v>Subventionerat</c:v>
                </c:pt>
                <c:pt idx="1">
                  <c:v>Osubventionerat</c:v>
                </c:pt>
              </c:strCache>
            </c:strRef>
          </c:cat>
          <c:val>
            <c:numRef>
              <c:f>Blad1!$C$2:$C$3</c:f>
              <c:numCache>
                <c:formatCode>General</c:formatCode>
                <c:ptCount val="2"/>
                <c:pt idx="0">
                  <c:v>13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8122592"/>
        <c:axId val="328122200"/>
      </c:barChart>
      <c:catAx>
        <c:axId val="32812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8122200"/>
        <c:crosses val="autoZero"/>
        <c:auto val="1"/>
        <c:lblAlgn val="ctr"/>
        <c:lblOffset val="100"/>
        <c:noMultiLvlLbl val="0"/>
      </c:catAx>
      <c:valAx>
        <c:axId val="32812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812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 sz="1000" dirty="0" smtClean="0"/>
              <a:t>Avslutade till arbete,</a:t>
            </a:r>
            <a:r>
              <a:rPr lang="sv-SE" sz="1000" baseline="0" dirty="0" smtClean="0"/>
              <a:t> insats Balder 2017</a:t>
            </a:r>
          </a:p>
          <a:p>
            <a:pPr>
              <a:defRPr/>
            </a:pPr>
            <a:endParaRPr lang="sv-SE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Kvinnor</c:v>
                </c:pt>
              </c:strCache>
            </c:strRef>
          </c:tx>
          <c:spPr>
            <a:solidFill>
              <a:srgbClr val="FFCCFF"/>
            </a:solidFill>
            <a:ln>
              <a:noFill/>
            </a:ln>
            <a:effectLst/>
          </c:spPr>
          <c:invertIfNegative val="0"/>
          <c:cat>
            <c:strRef>
              <c:f>Blad1!$A$2:$A$3</c:f>
              <c:strCache>
                <c:ptCount val="2"/>
                <c:pt idx="0">
                  <c:v>Subventionerat</c:v>
                </c:pt>
                <c:pt idx="1">
                  <c:v>Osubventionerat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Män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Blad1!$A$2:$A$3</c:f>
              <c:strCache>
                <c:ptCount val="2"/>
                <c:pt idx="0">
                  <c:v>Subventionerat</c:v>
                </c:pt>
                <c:pt idx="1">
                  <c:v>Osubventionerat</c:v>
                </c:pt>
              </c:strCache>
            </c:strRef>
          </c:cat>
          <c:val>
            <c:numRef>
              <c:f>Blad1!$C$2:$C$3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8123768"/>
        <c:axId val="328121024"/>
      </c:barChart>
      <c:catAx>
        <c:axId val="32812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8121024"/>
        <c:crosses val="autoZero"/>
        <c:auto val="1"/>
        <c:lblAlgn val="ctr"/>
        <c:lblOffset val="100"/>
        <c:noMultiLvlLbl val="0"/>
      </c:catAx>
      <c:valAx>
        <c:axId val="32812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8123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Sarenstrand Monia (1417)</dc:creator>
  <cp:keywords/>
  <dc:description/>
  <cp:lastModifiedBy>Nilsson Sarenstrand Monia (1417)</cp:lastModifiedBy>
  <cp:revision>8</cp:revision>
  <dcterms:created xsi:type="dcterms:W3CDTF">2018-10-19T07:19:00Z</dcterms:created>
  <dcterms:modified xsi:type="dcterms:W3CDTF">2018-10-19T10:11:00Z</dcterms:modified>
</cp:coreProperties>
</file>